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32"/>
          <w:szCs w:val="28"/>
        </w:rPr>
      </w:pPr>
      <w:r>
        <w:rPr>
          <w:b/>
          <w:bCs/>
          <w:sz w:val="28"/>
          <w:szCs w:val="28"/>
        </w:rPr>
        <w:t>Leitfaden für das Berater-Erstgespräch</w:t>
      </w:r>
      <w:r>
        <w:rPr>
          <w:b/>
          <w:bCs/>
          <w:sz w:val="32"/>
          <w:szCs w:val="28"/>
        </w:rPr>
        <w:t xml:space="preserve"> </w:t>
      </w:r>
      <w:r>
        <w:rPr>
          <w:rFonts w:eastAsia="SimSun" w:cs="Mangal"/>
          <w:color w:val="00000A"/>
          <w:kern w:val="2"/>
          <w:sz w:val="24"/>
          <w:szCs w:val="24"/>
          <w:lang w:val="de-DE" w:eastAsia="zh-CN" w:bidi="hi-IN"/>
        </w:rPr>
        <w:t xml:space="preserve">–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4189730</wp:posOffset>
            </wp:positionH>
            <wp:positionV relativeFrom="paragraph">
              <wp:posOffset>-495300</wp:posOffset>
            </wp:positionV>
            <wp:extent cx="849630" cy="8401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 w:cs="Mangal"/>
          <w:i/>
          <w:iCs/>
          <w:color w:val="00000A"/>
          <w:kern w:val="2"/>
          <w:sz w:val="18"/>
          <w:szCs w:val="18"/>
          <w:lang w:val="de-DE" w:eastAsia="zh-CN" w:bidi="hi-IN"/>
        </w:rPr>
        <w:t>p</w:t>
      </w:r>
      <w:r>
        <w:rPr>
          <w:rFonts w:eastAsia="SimSun" w:cs="Mangal"/>
          <w:i/>
          <w:iCs/>
          <w:color w:val="00000A"/>
          <w:kern w:val="2"/>
          <w:sz w:val="18"/>
          <w:szCs w:val="18"/>
          <w:lang w:val="de-DE" w:eastAsia="zh-CN" w:bidi="hi-IN"/>
        </w:rPr>
        <w:t xml:space="preserve">owered by  </w:t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Beratungsprojekt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Name des Berater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Teilnehmer des Erstgespräches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Gesprächsthemen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Notizen</w:t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Begrüßung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Vorstellung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Ansprache des vorliegenden Beratungsbedarfes | Problematik des Unternehmens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Konkrete Aufgabenstellung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Ziel der Beratung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Arbeitsprogramm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Zeitrahmen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Konkrete Vorgehensweise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Meilensteine zur Bewertung des Fortschrittes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Kostenvoranschlag mit Honorar und Zahlungsbedingungen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Kündigungsbedingungen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Vereinbarungen zu Datenschutz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Urheberrecht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Haftungsfragen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Offene Fragen</w:t>
            </w:r>
          </w:p>
        </w:tc>
        <w:tc>
          <w:tcPr>
            <w:tcW w:w="45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  <w:t>Ort, Datum des Erstgespräches: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spacing w:lineRule="auto" w:line="3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Eindruck | Bauchgefühl</w:t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1812"/>
        <w:gridCol w:w="1810"/>
        <w:gridCol w:w="1815"/>
        <w:gridCol w:w="1813"/>
      </w:tblGrid>
      <w:tr>
        <w:trPr/>
        <w:tc>
          <w:tcPr>
            <w:tcW w:w="1812" w:type="dxa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51510" cy="651510"/>
                  <wp:effectExtent l="0" t="0" r="0" b="0"/>
                  <wp:docPr id="2" name="Grafik 1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Trauriges Gesicht ohne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68020" cy="668020"/>
                  <wp:effectExtent l="0" t="0" r="0" b="0"/>
                  <wp:docPr id="3" name="Grafik 2" descr="Verwirrt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Verwirrtes Gesicht ohne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52145" cy="652145"/>
                  <wp:effectExtent l="0" t="0" r="0" b="0"/>
                  <wp:docPr id="4" name="Grafik 3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 descr="Neutrales Gesicht ohne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12140" cy="612140"/>
                  <wp:effectExtent l="0" t="0" r="0" b="0"/>
                  <wp:docPr id="5" name="Grafik 4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Lachendes Gesicht ohne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12140" cy="612140"/>
                  <wp:effectExtent l="0" t="0" r="0" b="0"/>
                  <wp:docPr id="6" name="Grafik 5" descr="Engels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Engelsgesicht ohne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1812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Notizen: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dc7"/>
    <w:pPr>
      <w:widowControl/>
      <w:suppressAutoHyphens w:val="true"/>
      <w:bidi w:val="0"/>
      <w:spacing w:lineRule="auto" w:line="312"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21dc7"/>
    <w:rPr>
      <w:rFonts w:ascii="Arial" w:hAnsi="Arial"/>
      <w:sz w:val="20"/>
      <w:szCs w:val="20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21dc7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21dc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721d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2</Pages>
  <Words>60</Words>
  <Characters>528</Characters>
  <CharactersWithSpaces>568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2020-02-14T19:44:00Z</dcterms:created>
  <dc:creator>Bettina Mohr</dc:creator>
  <dc:description>www.kmu-management.de</dc:description>
  <dc:language>de-DE</dc:language>
  <cp:lastModifiedBy/>
  <dcterms:modified xsi:type="dcterms:W3CDTF">2020-10-28T13:35:33Z</dcterms:modified>
  <cp:revision>15</cp:revision>
  <dc:subject/>
  <dc:title>Leitfaden für Berater-Erstgespräch - powered by KMU-Management.de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